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C5BF" w14:textId="6F708987" w:rsidR="00C81669" w:rsidRPr="00C81669" w:rsidRDefault="0026446F" w:rsidP="00C81669">
      <w:pPr>
        <w:pStyle w:val="Altyaz"/>
        <w:spacing w:after="0"/>
        <w:ind w:left="7090"/>
        <w:jc w:val="both"/>
        <w:outlineLvl w:val="9"/>
        <w:rPr>
          <w:rFonts w:ascii="Times New Roman" w:hAnsi="Times New Roman"/>
          <w:b/>
          <w:i/>
          <w:sz w:val="20"/>
          <w:szCs w:val="20"/>
        </w:rPr>
      </w:pPr>
      <w:r w:rsidRPr="0026446F">
        <w:rPr>
          <w:rFonts w:ascii="Times New Roman" w:hAnsi="Times New Roman"/>
          <w:b/>
          <w:i/>
          <w:sz w:val="20"/>
          <w:szCs w:val="20"/>
        </w:rPr>
        <w:t>BASIN BÜLTEN</w:t>
      </w:r>
    </w:p>
    <w:p w14:paraId="3529385F" w14:textId="448A1232" w:rsidR="0026446F" w:rsidRP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/16-2</w:t>
      </w:r>
      <w:r w:rsidR="007252DA">
        <w:rPr>
          <w:b/>
          <w:i/>
          <w:sz w:val="20"/>
          <w:szCs w:val="20"/>
        </w:rPr>
        <w:t>5</w:t>
      </w:r>
    </w:p>
    <w:p w14:paraId="2C17986E" w14:textId="77777777" w:rsidR="003F43B1" w:rsidRPr="0026446F" w:rsidRDefault="003F43B1" w:rsidP="0026446F">
      <w:pPr>
        <w:pStyle w:val="Altyaz"/>
        <w:spacing w:after="0"/>
        <w:ind w:firstLine="708"/>
        <w:jc w:val="both"/>
        <w:outlineLvl w:val="9"/>
        <w:rPr>
          <w:rFonts w:ascii="Times New Roman" w:hAnsi="Times New Roman"/>
          <w:i/>
          <w:sz w:val="18"/>
          <w:szCs w:val="18"/>
        </w:rPr>
      </w:pPr>
    </w:p>
    <w:p w14:paraId="1303DBAA" w14:textId="77777777" w:rsidR="00DC68DD" w:rsidRDefault="00DC68DD" w:rsidP="00FD0814">
      <w:pPr>
        <w:rPr>
          <w:b/>
          <w:i/>
        </w:rPr>
      </w:pPr>
    </w:p>
    <w:p w14:paraId="2C547D05" w14:textId="77777777" w:rsidR="009A49AC" w:rsidRPr="00FD0814" w:rsidRDefault="009A49AC" w:rsidP="00FD0814">
      <w:pPr>
        <w:rPr>
          <w:b/>
          <w:i/>
        </w:rPr>
      </w:pPr>
    </w:p>
    <w:p w14:paraId="6491C807" w14:textId="40A1DFC4" w:rsidR="007252DA" w:rsidRPr="00457ACB" w:rsidRDefault="007252DA" w:rsidP="007252DA">
      <w:pPr>
        <w:jc w:val="center"/>
        <w:rPr>
          <w:b/>
          <w:bCs/>
          <w:sz w:val="28"/>
          <w:szCs w:val="28"/>
        </w:rPr>
      </w:pPr>
      <w:r w:rsidRPr="00457ACB">
        <w:rPr>
          <w:b/>
          <w:bCs/>
          <w:sz w:val="28"/>
          <w:szCs w:val="28"/>
        </w:rPr>
        <w:t>TÜRKONFED</w:t>
      </w:r>
      <w:r>
        <w:rPr>
          <w:b/>
          <w:bCs/>
          <w:sz w:val="28"/>
          <w:szCs w:val="28"/>
        </w:rPr>
        <w:t>-TÜSİAD</w:t>
      </w:r>
    </w:p>
    <w:p w14:paraId="47B3B0D9" w14:textId="77777777" w:rsidR="007252DA" w:rsidRDefault="007252DA" w:rsidP="007252DA">
      <w:pPr>
        <w:jc w:val="center"/>
        <w:rPr>
          <w:b/>
          <w:bCs/>
          <w:sz w:val="28"/>
          <w:szCs w:val="28"/>
        </w:rPr>
      </w:pPr>
      <w:r w:rsidRPr="00457ACB">
        <w:rPr>
          <w:b/>
          <w:bCs/>
          <w:sz w:val="28"/>
          <w:szCs w:val="28"/>
        </w:rPr>
        <w:t>Yargı Hizmetlerinde Kaliteyi Samsun’da ele aldı</w:t>
      </w:r>
    </w:p>
    <w:p w14:paraId="53945BC8" w14:textId="77777777" w:rsidR="007252DA" w:rsidRDefault="007252DA" w:rsidP="007252DA">
      <w:pPr>
        <w:rPr>
          <w:b/>
          <w:bCs/>
          <w:sz w:val="28"/>
          <w:szCs w:val="28"/>
        </w:rPr>
      </w:pPr>
    </w:p>
    <w:p w14:paraId="4E5837DE" w14:textId="77777777" w:rsidR="007252DA" w:rsidRDefault="007252DA" w:rsidP="007252DA">
      <w:pPr>
        <w:rPr>
          <w:b/>
          <w:bCs/>
          <w:sz w:val="28"/>
          <w:szCs w:val="28"/>
        </w:rPr>
      </w:pPr>
    </w:p>
    <w:p w14:paraId="7D91F785" w14:textId="7B07B502" w:rsidR="007252DA" w:rsidRPr="00457ACB" w:rsidRDefault="007252DA" w:rsidP="007252DA">
      <w:pPr>
        <w:rPr>
          <w:b/>
          <w:bCs/>
        </w:rPr>
      </w:pPr>
      <w:r>
        <w:rPr>
          <w:b/>
          <w:bCs/>
        </w:rPr>
        <w:t xml:space="preserve">TÜRKONFED ve </w:t>
      </w:r>
      <w:r w:rsidRPr="00457ACB">
        <w:rPr>
          <w:b/>
          <w:bCs/>
        </w:rPr>
        <w:t xml:space="preserve">TÜSİAD yargı hizmetlerinde kalite konusunu Samsun’da gerçekleştirdiği toplantıda iş insanları ve hukukçulardan oluşan geniş katılımlı bir yuvarlak masa toplantısıyla ele aldı. Yargıda yaşanan sorunların tartışıldığı toplantıda, aynı zamanda haksız rekabet, iflas erteleme, kaynakların etkin dağılımı ve idari yargı gibi son günlerin gündem maddeleriyle ilgili de görüşler dile getirildi. </w:t>
      </w:r>
    </w:p>
    <w:p w14:paraId="63D1B0C9" w14:textId="77777777" w:rsidR="007252DA" w:rsidRDefault="007252DA" w:rsidP="007252DA">
      <w:pPr>
        <w:rPr>
          <w:b/>
          <w:bCs/>
          <w:i/>
          <w:sz w:val="22"/>
          <w:szCs w:val="22"/>
        </w:rPr>
      </w:pPr>
    </w:p>
    <w:p w14:paraId="29642840" w14:textId="77777777" w:rsidR="007252DA" w:rsidRPr="007252DA" w:rsidRDefault="007252DA" w:rsidP="007252DA">
      <w:pPr>
        <w:rPr>
          <w:b/>
          <w:bCs/>
          <w:i/>
          <w:sz w:val="22"/>
          <w:szCs w:val="22"/>
        </w:rPr>
      </w:pPr>
    </w:p>
    <w:p w14:paraId="7E77F871" w14:textId="70464859" w:rsidR="007252DA" w:rsidRDefault="007252DA" w:rsidP="007252DA">
      <w:r w:rsidRPr="007252DA">
        <w:rPr>
          <w:b/>
          <w:bCs/>
          <w:i/>
          <w:sz w:val="22"/>
          <w:szCs w:val="22"/>
        </w:rPr>
        <w:t>4 MAYIS 2016-</w:t>
      </w:r>
      <w:r w:rsidRPr="007252DA">
        <w:rPr>
          <w:bCs/>
        </w:rPr>
        <w:t xml:space="preserve"> </w:t>
      </w:r>
      <w:r w:rsidRPr="00C578C4">
        <w:rPr>
          <w:bCs/>
        </w:rPr>
        <w:t>Türk Girişim ve İş Dünyası Konfederasyonu (TÜRKONFED)</w:t>
      </w:r>
      <w:r>
        <w:rPr>
          <w:bCs/>
        </w:rPr>
        <w:t xml:space="preserve"> ve </w:t>
      </w:r>
      <w:r w:rsidRPr="00C578C4">
        <w:rPr>
          <w:bCs/>
        </w:rPr>
        <w:t>Türk Sanayicileri ve İş Adamları Derneği (TÜSİAD) hukuk alanında başla</w:t>
      </w:r>
      <w:r>
        <w:rPr>
          <w:bCs/>
        </w:rPr>
        <w:t>ttıkları ortak çalışmalarda</w:t>
      </w:r>
      <w:r w:rsidRPr="00C578C4">
        <w:rPr>
          <w:bCs/>
        </w:rPr>
        <w:t xml:space="preserve"> ilk durak olarak Samsun’u seçti. Türkiye’nin çeşitli illerinde düzenlenecek “Yargı Reformu Hedefi Olarak Yargı Hizmetlerinde Kalite ve Kalite Unsurları” </w:t>
      </w:r>
      <w:r>
        <w:rPr>
          <w:bCs/>
        </w:rPr>
        <w:t>y</w:t>
      </w:r>
      <w:r w:rsidRPr="00C578C4">
        <w:rPr>
          <w:bCs/>
        </w:rPr>
        <w:t xml:space="preserve">uvarlak </w:t>
      </w:r>
      <w:r>
        <w:rPr>
          <w:bCs/>
        </w:rPr>
        <w:t>m</w:t>
      </w:r>
      <w:r w:rsidRPr="00C578C4">
        <w:rPr>
          <w:bCs/>
        </w:rPr>
        <w:t>asa toplantılarının ilki 4 Mayıs 2016 tarihinde Samsun Yelken Kulübü’nde gerçekleştirildi.</w:t>
      </w:r>
      <w:r>
        <w:rPr>
          <w:bCs/>
        </w:rPr>
        <w:t xml:space="preserve"> </w:t>
      </w:r>
      <w:proofErr w:type="spellStart"/>
      <w:r>
        <w:rPr>
          <w:bCs/>
        </w:rPr>
        <w:t>TÜRKONFED’e</w:t>
      </w:r>
      <w:proofErr w:type="spellEnd"/>
      <w:r>
        <w:rPr>
          <w:bCs/>
        </w:rPr>
        <w:t xml:space="preserve"> üye federasyonlardan </w:t>
      </w:r>
      <w:r w:rsidRPr="00DA0547">
        <w:t>Orta Karadeniz Sanayici ve İş Dünyası Federasyonu (ORKASİFED) desteği ile Samsun Yelken Kulübü</w:t>
      </w:r>
      <w:r>
        <w:t>’</w:t>
      </w:r>
      <w:r w:rsidRPr="00DA0547">
        <w:t>nde yapılan toplantı</w:t>
      </w:r>
      <w:r>
        <w:t xml:space="preserve">ya iş dünyası ve hukukçular katıldı. </w:t>
      </w:r>
    </w:p>
    <w:p w14:paraId="5B82F6B1" w14:textId="77777777" w:rsidR="007252DA" w:rsidRDefault="007252DA" w:rsidP="007252DA"/>
    <w:p w14:paraId="4A3ED704" w14:textId="77777777" w:rsidR="007252DA" w:rsidRDefault="007252DA" w:rsidP="007252DA">
      <w:r w:rsidRPr="00DA0547">
        <w:t>Sa</w:t>
      </w:r>
      <w:r>
        <w:t>msunlu iş insanları ve hukukçular,</w:t>
      </w:r>
      <w:r w:rsidRPr="00DA0547">
        <w:t xml:space="preserve"> yargıda yaşadıkları sorunları aktarma ve çözüm önerilerini sunm</w:t>
      </w:r>
      <w:r>
        <w:t>a fırsatı bul</w:t>
      </w:r>
      <w:r w:rsidRPr="00DA0547">
        <w:t>u</w:t>
      </w:r>
      <w:r>
        <w:t xml:space="preserve">rken; </w:t>
      </w:r>
      <w:r w:rsidRPr="00DA0547">
        <w:t>haksız rekabet, ifla</w:t>
      </w:r>
      <w:r>
        <w:t>s erteleme,</w:t>
      </w:r>
      <w:r w:rsidRPr="00DA0547">
        <w:t xml:space="preserve"> kaynakların etkin dağıt</w:t>
      </w:r>
      <w:r>
        <w:t>ımı ve</w:t>
      </w:r>
      <w:r w:rsidRPr="00DA0547">
        <w:t xml:space="preserve"> idari yargı gibi konular hakkında görüşlerini sundu. </w:t>
      </w:r>
    </w:p>
    <w:p w14:paraId="67CB91D0" w14:textId="77777777" w:rsidR="007252DA" w:rsidRDefault="007252DA" w:rsidP="007252DA"/>
    <w:p w14:paraId="07A5BED8" w14:textId="77777777" w:rsidR="007252DA" w:rsidRPr="00DA0547" w:rsidRDefault="007252DA" w:rsidP="007252DA">
      <w:r w:rsidRPr="00DA0547">
        <w:t xml:space="preserve">Yuvarlak </w:t>
      </w:r>
      <w:r>
        <w:t>m</w:t>
      </w:r>
      <w:r w:rsidRPr="00DA0547">
        <w:t xml:space="preserve">asa </w:t>
      </w:r>
      <w:r>
        <w:t>t</w:t>
      </w:r>
      <w:r w:rsidRPr="00DA0547">
        <w:t xml:space="preserve">oplantısının açılışı ORKASİFED Yönetim Kurulu Başkanı </w:t>
      </w:r>
      <w:r>
        <w:t xml:space="preserve">/ </w:t>
      </w:r>
      <w:r w:rsidRPr="00DA0547">
        <w:t>TÜRKONFED Yönetim Kurulu Üyesi Emin Bahri Uğurlu</w:t>
      </w:r>
      <w:r>
        <w:t xml:space="preserve"> ile O</w:t>
      </w:r>
      <w:r w:rsidRPr="00DA0547">
        <w:t>RKASİFED Yönetim Kurulu Başkan Yardımcısı</w:t>
      </w:r>
      <w:r>
        <w:t xml:space="preserve"> /</w:t>
      </w:r>
      <w:r w:rsidRPr="00DA0547">
        <w:t xml:space="preserve"> SAMİKAD Yönetim</w:t>
      </w:r>
      <w:r>
        <w:t xml:space="preserve"> Kurulu Başkanı Münevver Uğurlu’nun konuşmalarıyla başladı. T</w:t>
      </w:r>
      <w:r w:rsidRPr="00DA0547">
        <w:t>ÜSİAD Yargı Reformu Çalışma Grubu Başkanı Avukat Mehmet Gün</w:t>
      </w:r>
      <w:r>
        <w:t>,</w:t>
      </w:r>
      <w:r w:rsidRPr="00DA0547">
        <w:t xml:space="preserve"> “Yargı Hizmetlerinde Kalite Raporu” ve raporda yer alan kalite unsurları konusunda bir </w:t>
      </w:r>
      <w:r>
        <w:t xml:space="preserve">de </w:t>
      </w:r>
      <w:r w:rsidRPr="00DA0547">
        <w:t>sunum gerçekleştirdi. </w:t>
      </w:r>
    </w:p>
    <w:p w14:paraId="7C97159E" w14:textId="77777777" w:rsidR="007252DA" w:rsidRPr="00C578C4" w:rsidRDefault="007252DA" w:rsidP="007252DA">
      <w:pPr>
        <w:rPr>
          <w:b/>
        </w:rPr>
      </w:pPr>
    </w:p>
    <w:p w14:paraId="4B255498" w14:textId="77777777" w:rsidR="007252DA" w:rsidRDefault="007252DA" w:rsidP="007252DA">
      <w:pPr>
        <w:rPr>
          <w:b/>
        </w:rPr>
      </w:pPr>
      <w:r w:rsidRPr="00C578C4">
        <w:rPr>
          <w:b/>
        </w:rPr>
        <w:t>Ç</w:t>
      </w:r>
      <w:r>
        <w:rPr>
          <w:b/>
        </w:rPr>
        <w:t>Ö</w:t>
      </w:r>
      <w:r w:rsidRPr="00C578C4">
        <w:rPr>
          <w:b/>
        </w:rPr>
        <w:t>ZÜM ÖNERİLERİ TARTIŞILDI</w:t>
      </w:r>
    </w:p>
    <w:p w14:paraId="7E10ECE8" w14:textId="7E6634B9" w:rsidR="007252DA" w:rsidRPr="007252DA" w:rsidRDefault="007252DA" w:rsidP="007252DA">
      <w:pPr>
        <w:spacing w:after="160" w:line="259" w:lineRule="auto"/>
      </w:pPr>
      <w:r w:rsidRPr="007252DA">
        <w:t>To</w:t>
      </w:r>
      <w:r w:rsidRPr="007252DA">
        <w:t xml:space="preserve">plantı katılımcılarının görüşlerin toplanmasından sonra çözüm önerileri Mehmet Gün </w:t>
      </w:r>
      <w:proofErr w:type="spellStart"/>
      <w:r w:rsidRPr="007252DA">
        <w:t>moderatörlüğünde</w:t>
      </w:r>
      <w:proofErr w:type="spellEnd"/>
      <w:r w:rsidRPr="007252DA">
        <w:t xml:space="preserve"> tartışıldı. TÜRKONFED</w:t>
      </w:r>
      <w:r>
        <w:t xml:space="preserve"> ve TÜSİAD</w:t>
      </w:r>
      <w:r w:rsidRPr="007252DA">
        <w:t xml:space="preserve"> ortaklığında, konfederasyon üyesi federasyon ve derneklerin desteği ile Anadolu’nun çeşitli şehirlerinde gerçekleştirilecek yuvarlak masa toplantılar dizisinin ilkinde Samsun’da bulunmaktan duyduğu memnuniyeti dile getiren Mehmet Gün, raporun bu toplantılarda tüm Türkiye’deki iş insanları tarafından tartışılarak geliştirileceğini belirtti. </w:t>
      </w:r>
    </w:p>
    <w:p w14:paraId="6A5D8EDE" w14:textId="77777777" w:rsidR="007252DA" w:rsidRDefault="007252DA" w:rsidP="007252DA"/>
    <w:p w14:paraId="7C058427" w14:textId="77777777" w:rsidR="007252DA" w:rsidRDefault="007252DA" w:rsidP="007252DA"/>
    <w:p w14:paraId="7AABD5F5" w14:textId="77777777" w:rsidR="007252DA" w:rsidRDefault="007252DA" w:rsidP="007252DA"/>
    <w:p w14:paraId="223ECDF7" w14:textId="77777777" w:rsidR="007252DA" w:rsidRDefault="007252DA" w:rsidP="007252DA">
      <w:r w:rsidRPr="00DA0547">
        <w:t>Gün, bu yolla yargı hizmetlerinden beklenen kalite ve kalite unsurlarının belirleneceği, tüm iş dünyasının benimseyeceği bir belge oluşturulmasının hedeflendiği iletti.</w:t>
      </w:r>
      <w:r>
        <w:t xml:space="preserve"> Gün, şöyle devam etti: “</w:t>
      </w:r>
      <w:r w:rsidRPr="00DA0547">
        <w:t>Yargı Hizmetlerinde Kalite Raporu ile Yargı Reformu çalışmalarının nihai hedefi olan yargı hizmetinde kaliteyi belirleyen unsurların ortaya konulması, yargı hizmetlerinde ölçülebilir ve karşılaştırılabilir göstergeler oluşturulması yolunda önemli bir adım</w:t>
      </w:r>
      <w:r>
        <w:t xml:space="preserve">dır.” </w:t>
      </w:r>
    </w:p>
    <w:p w14:paraId="5E70451C" w14:textId="77777777" w:rsidR="007252DA" w:rsidRDefault="007252DA" w:rsidP="007252DA"/>
    <w:p w14:paraId="14182ED9" w14:textId="77777777" w:rsidR="007252DA" w:rsidRPr="00DA0547" w:rsidRDefault="007252DA" w:rsidP="007252DA">
      <w:r w:rsidRPr="00DA0547">
        <w:rPr>
          <w:b/>
          <w:bCs/>
        </w:rPr>
        <w:t>YARGI HİZMETLERİNDE KALİTE RAPORU HAKKINDA</w:t>
      </w:r>
    </w:p>
    <w:p w14:paraId="7EC9EEFB" w14:textId="77777777" w:rsidR="007252DA" w:rsidRDefault="007252DA" w:rsidP="007252DA">
      <w:r w:rsidRPr="00DA0547">
        <w:t>“Yargı Hizmetlerinde Kalite: Yargı Hizmetlerinde Kalite Talebi ve Kalite Unsurları” başlıklı rapor TÜSİAD bünyesinde faaliyetlerini sürdüren, Av. Mehmet Gün başkanlığındaki Yargı Reformu Çalışma Grubu tarafından hazırlan</w:t>
      </w:r>
      <w:r>
        <w:t xml:space="preserve">dı. </w:t>
      </w:r>
      <w:r w:rsidRPr="00DA0547">
        <w:t>Rapor</w:t>
      </w:r>
      <w:r>
        <w:t>,</w:t>
      </w:r>
      <w:r w:rsidRPr="00DA0547">
        <w:t xml:space="preserve"> TÜRKONFED </w:t>
      </w:r>
      <w:r>
        <w:t>ç</w:t>
      </w:r>
      <w:r w:rsidRPr="00DA0547">
        <w:t xml:space="preserve">atısı altındaki </w:t>
      </w:r>
      <w:r>
        <w:t>f</w:t>
      </w:r>
      <w:r w:rsidRPr="00DA0547">
        <w:t>ederasyonların katılımı</w:t>
      </w:r>
      <w:r>
        <w:t>yla</w:t>
      </w:r>
      <w:r w:rsidRPr="00DA0547">
        <w:t xml:space="preserve"> genişletil</w:t>
      </w:r>
      <w:r>
        <w:t>di</w:t>
      </w:r>
      <w:r w:rsidRPr="00DA0547">
        <w:t xml:space="preserve"> ve iş dünyasının çözüm önerileri</w:t>
      </w:r>
      <w:r>
        <w:t>yle de zenginleştirildi.</w:t>
      </w:r>
    </w:p>
    <w:p w14:paraId="23E1FD36" w14:textId="77777777" w:rsidR="007252DA" w:rsidRPr="00DA0547" w:rsidRDefault="007252DA" w:rsidP="007252DA"/>
    <w:p w14:paraId="2FBBB4FE" w14:textId="77777777" w:rsidR="007252DA" w:rsidRDefault="007252DA" w:rsidP="007252DA">
      <w:r>
        <w:t>Rapor, u</w:t>
      </w:r>
      <w:r w:rsidRPr="00DA0547">
        <w:t>luslararası hukuk platformlarında yapılan tartışmalarda</w:t>
      </w:r>
      <w:r>
        <w:t>,</w:t>
      </w:r>
      <w:r w:rsidRPr="00DA0547">
        <w:t xml:space="preserve"> yargı hizmetlerinin taşıması gereken kalite unsurları olarak işaret edilen başlıkları </w:t>
      </w:r>
      <w:r>
        <w:t>10</w:t>
      </w:r>
      <w:r w:rsidRPr="00DA0547">
        <w:t xml:space="preserve"> maddede topla</w:t>
      </w:r>
      <w:r>
        <w:t xml:space="preserve">rken, </w:t>
      </w:r>
      <w:r w:rsidRPr="00DA0547">
        <w:t xml:space="preserve">ilgili başlıklara göre Türkiye için çözüm önerileri </w:t>
      </w:r>
      <w:r>
        <w:t xml:space="preserve">de sunuyor. </w:t>
      </w:r>
      <w:r w:rsidRPr="00DA0547">
        <w:t>Raporun ortaya koyduğu kalite unsurları</w:t>
      </w:r>
      <w:r>
        <w:t xml:space="preserve"> özetle şunlar: </w:t>
      </w:r>
    </w:p>
    <w:p w14:paraId="4F1B4CD7" w14:textId="77777777" w:rsidR="007252DA" w:rsidRDefault="007252DA" w:rsidP="007252DA"/>
    <w:p w14:paraId="655FA267" w14:textId="346EB3D2"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 hizmetleri mutlaka yargı unsurları tarafından verilmelidir</w:t>
      </w:r>
      <w:r>
        <w:rPr>
          <w:rFonts w:ascii="Times New Roman" w:eastAsia="Times New Roman" w:hAnsi="Times New Roman"/>
          <w:sz w:val="24"/>
          <w:szCs w:val="24"/>
        </w:rPr>
        <w:t>.</w:t>
      </w:r>
    </w:p>
    <w:p w14:paraId="20E64281" w14:textId="15F54114"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 hizmeti görevlileri bilgili, tecrübeli ve yetkin olmalıdır</w:t>
      </w:r>
      <w:r>
        <w:rPr>
          <w:rFonts w:ascii="Times New Roman" w:eastAsia="Times New Roman" w:hAnsi="Times New Roman"/>
          <w:sz w:val="24"/>
          <w:szCs w:val="24"/>
        </w:rPr>
        <w:t>.</w:t>
      </w:r>
    </w:p>
    <w:p w14:paraId="3C9216B8" w14:textId="7CCE622C"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Yargılama, maddi gerçeği tam olarak ortaya çıkarmalı ve tamamen gerçeklere dayanmalıdır</w:t>
      </w:r>
      <w:r>
        <w:rPr>
          <w:rFonts w:ascii="Times New Roman" w:eastAsia="Times New Roman" w:hAnsi="Times New Roman"/>
          <w:sz w:val="24"/>
          <w:szCs w:val="24"/>
        </w:rPr>
        <w:t>.</w:t>
      </w:r>
    </w:p>
    <w:p w14:paraId="4B7E721A" w14:textId="14991DE2"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Adalet mutlaka gerçekleşmelidir</w:t>
      </w:r>
      <w:r>
        <w:rPr>
          <w:rFonts w:ascii="Times New Roman" w:eastAsia="Times New Roman" w:hAnsi="Times New Roman"/>
          <w:sz w:val="24"/>
          <w:szCs w:val="24"/>
        </w:rPr>
        <w:t>.</w:t>
      </w:r>
    </w:p>
    <w:p w14:paraId="4CEC2071" w14:textId="511C3028"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Çekişmeli yargılamada silahların eşitliği ilkesi sağlanmalıdır</w:t>
      </w:r>
      <w:r>
        <w:rPr>
          <w:rFonts w:ascii="Times New Roman" w:eastAsia="Times New Roman" w:hAnsi="Times New Roman"/>
          <w:sz w:val="24"/>
          <w:szCs w:val="24"/>
        </w:rPr>
        <w:t>.</w:t>
      </w:r>
    </w:p>
    <w:p w14:paraId="19A57674" w14:textId="41704C31"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Yargısal hizmetlerin maliyeti makul olmalıdır</w:t>
      </w:r>
      <w:r>
        <w:rPr>
          <w:rFonts w:ascii="Times New Roman" w:eastAsia="Times New Roman" w:hAnsi="Times New Roman"/>
          <w:sz w:val="24"/>
          <w:szCs w:val="24"/>
        </w:rPr>
        <w:t>.</w:t>
      </w:r>
    </w:p>
    <w:p w14:paraId="7BBE0D17" w14:textId="0C27CF97"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Yargısal hizmetler makul süre ve hızda verilmelidir</w:t>
      </w:r>
      <w:r>
        <w:rPr>
          <w:rFonts w:ascii="Times New Roman" w:eastAsia="Times New Roman" w:hAnsi="Times New Roman"/>
          <w:sz w:val="24"/>
          <w:szCs w:val="24"/>
        </w:rPr>
        <w:t>.</w:t>
      </w:r>
    </w:p>
    <w:p w14:paraId="45091A19" w14:textId="6E539AE3"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Yargısal süreçler ve kararlar anlaşılabilir ve öğretici olmalıdır</w:t>
      </w:r>
      <w:r>
        <w:rPr>
          <w:rFonts w:ascii="Times New Roman" w:eastAsia="Times New Roman" w:hAnsi="Times New Roman"/>
          <w:sz w:val="24"/>
          <w:szCs w:val="24"/>
        </w:rPr>
        <w:t>.</w:t>
      </w:r>
    </w:p>
    <w:p w14:paraId="093B1CE8" w14:textId="1869D7CD"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 ihtiyaca uygun, etkin ve verimli hizmet vermelidir</w:t>
      </w:r>
      <w:r>
        <w:rPr>
          <w:rFonts w:ascii="Times New Roman" w:eastAsia="Times New Roman" w:hAnsi="Times New Roman"/>
          <w:sz w:val="24"/>
          <w:szCs w:val="24"/>
        </w:rPr>
        <w:t>.</w:t>
      </w:r>
    </w:p>
    <w:p w14:paraId="3BD0B25E" w14:textId="2F888527" w:rsidR="007252DA" w:rsidRPr="007252DA" w:rsidRDefault="007252DA" w:rsidP="007252DA">
      <w:pPr>
        <w:pStyle w:val="ListeParagraf"/>
        <w:numPr>
          <w:ilvl w:val="0"/>
          <w:numId w:val="14"/>
        </w:numPr>
        <w:spacing w:after="0" w:line="240" w:lineRule="auto"/>
        <w:rPr>
          <w:rFonts w:ascii="Times New Roman" w:eastAsia="Times New Roman" w:hAnsi="Times New Roman"/>
          <w:sz w:val="24"/>
          <w:szCs w:val="24"/>
        </w:rPr>
      </w:pPr>
      <w:r w:rsidRPr="007252DA">
        <w:rPr>
          <w:rFonts w:ascii="Times New Roman" w:eastAsia="Times New Roman" w:hAnsi="Times New Roman"/>
          <w:sz w:val="24"/>
          <w:szCs w:val="24"/>
        </w:rPr>
        <w:t>Yargısal süreç, işlem ve kararlar belirli ve öngörülebilir olmalıdır</w:t>
      </w:r>
      <w:r>
        <w:rPr>
          <w:rFonts w:ascii="Times New Roman" w:eastAsia="Times New Roman" w:hAnsi="Times New Roman"/>
          <w:sz w:val="24"/>
          <w:szCs w:val="24"/>
        </w:rPr>
        <w:t>.</w:t>
      </w:r>
    </w:p>
    <w:p w14:paraId="5057A1EE" w14:textId="77777777" w:rsidR="007252DA" w:rsidRPr="007252DA" w:rsidRDefault="007252DA" w:rsidP="007252DA"/>
    <w:p w14:paraId="4CEC02DF" w14:textId="77777777" w:rsidR="007252DA" w:rsidRPr="007252DA" w:rsidRDefault="007252DA" w:rsidP="007252DA">
      <w:pPr>
        <w:rPr>
          <w:b/>
        </w:rPr>
      </w:pPr>
      <w:r w:rsidRPr="007252DA">
        <w:rPr>
          <w:b/>
        </w:rPr>
        <w:t xml:space="preserve">Raporun detaylarına ulaşmak için: </w:t>
      </w:r>
    </w:p>
    <w:p w14:paraId="153715EE" w14:textId="77777777" w:rsidR="007252DA" w:rsidRPr="007252DA" w:rsidRDefault="007252DA" w:rsidP="007252DA">
      <w:hyperlink r:id="rId7" w:history="1">
        <w:r w:rsidRPr="007252DA">
          <w:rPr>
            <w:rStyle w:val="Kpr"/>
          </w:rPr>
          <w:t>http://tusiad.org/tr/tum/item/download/7168_285adb835f2b413cb825fc030ba1995e</w:t>
        </w:r>
      </w:hyperlink>
    </w:p>
    <w:p w14:paraId="7D511B08" w14:textId="77777777" w:rsidR="007252DA" w:rsidRDefault="007252DA" w:rsidP="007252DA"/>
    <w:p w14:paraId="2B86FE5D" w14:textId="77777777" w:rsidR="007252DA" w:rsidRPr="00DA0547" w:rsidRDefault="007252DA" w:rsidP="007252DA"/>
    <w:p w14:paraId="375505A7" w14:textId="77777777" w:rsidR="005C4F02" w:rsidRDefault="005C4F02" w:rsidP="00903AA7">
      <w:pPr>
        <w:rPr>
          <w:rFonts w:asciiTheme="majorHAnsi" w:hAnsiTheme="majorHAnsi" w:cs="Arial"/>
          <w:b/>
          <w:sz w:val="22"/>
          <w:szCs w:val="22"/>
        </w:rPr>
      </w:pPr>
      <w:bookmarkStart w:id="0" w:name="_GoBack"/>
      <w:bookmarkEnd w:id="0"/>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w:t>
      </w:r>
      <w:proofErr w:type="gramStart"/>
      <w:r w:rsidRPr="00301AA0">
        <w:rPr>
          <w:rFonts w:ascii="Arial" w:hAnsi="Arial" w:cs="Arial"/>
          <w:i/>
          <w:sz w:val="18"/>
          <w:szCs w:val="18"/>
        </w:rPr>
        <w:t>ve</w:t>
      </w:r>
      <w:proofErr w:type="gramEnd"/>
      <w:r w:rsidRPr="00301AA0">
        <w:rPr>
          <w:rFonts w:ascii="Arial" w:hAnsi="Arial" w:cs="Arial"/>
          <w:i/>
          <w:sz w:val="18"/>
          <w:szCs w:val="18"/>
        </w:rPr>
        <w:t xml:space="preser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8"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0" w:history="1">
        <w:r w:rsidRPr="008F0352">
          <w:rPr>
            <w:rStyle w:val="Kpr"/>
            <w:rFonts w:ascii="Arial" w:hAnsi="Arial" w:cs="Arial"/>
            <w:i/>
            <w:sz w:val="18"/>
            <w:szCs w:val="18"/>
          </w:rPr>
          <w:t>info@turkonfed.org</w:t>
        </w:r>
      </w:hyperlink>
    </w:p>
    <w:sectPr w:rsidR="00EF6BCF" w:rsidRPr="00704650" w:rsidSect="00704650">
      <w:headerReference w:type="default" r:id="rId11"/>
      <w:footerReference w:type="default" r:id="rId12"/>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F687" w14:textId="77777777" w:rsidR="00506FD7" w:rsidRDefault="00506FD7" w:rsidP="005F16ED">
      <w:r>
        <w:separator/>
      </w:r>
    </w:p>
  </w:endnote>
  <w:endnote w:type="continuationSeparator" w:id="0">
    <w:p w14:paraId="24A64D82" w14:textId="77777777" w:rsidR="00506FD7" w:rsidRDefault="00506FD7"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25BC9294" w14:textId="77777777" w:rsidR="009A49AC"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p>
  <w:p w14:paraId="0B11AC81" w14:textId="4E4FFB0B" w:rsidR="0027055C" w:rsidRPr="008C12F7" w:rsidRDefault="0027055C" w:rsidP="00DD222F">
    <w:pPr>
      <w:jc w:val="center"/>
      <w:rPr>
        <w:sz w:val="14"/>
      </w:rPr>
    </w:pP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4EFB" w14:textId="77777777" w:rsidR="00506FD7" w:rsidRDefault="00506FD7" w:rsidP="005F16ED">
      <w:r>
        <w:separator/>
      </w:r>
    </w:p>
  </w:footnote>
  <w:footnote w:type="continuationSeparator" w:id="0">
    <w:p w14:paraId="258D81C7" w14:textId="77777777" w:rsidR="00506FD7" w:rsidRDefault="00506FD7"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5EE70539" w:rsidR="0027055C" w:rsidRDefault="0027055C">
    <w:pPr>
      <w:pStyle w:val="stbilgi"/>
    </w:pPr>
    <w:r>
      <w:rPr>
        <w:noProof/>
      </w:rPr>
      <w:drawing>
        <wp:inline distT="0" distB="0" distL="0" distR="0" wp14:anchorId="27476C1F" wp14:editId="5FC040B5">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8A02F9"/>
    <w:multiLevelType w:val="hybridMultilevel"/>
    <w:tmpl w:val="65D6438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6">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1">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DB732D5"/>
    <w:multiLevelType w:val="hybridMultilevel"/>
    <w:tmpl w:val="B966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7"/>
  </w:num>
  <w:num w:numId="6">
    <w:abstractNumId w:val="2"/>
  </w:num>
  <w:num w:numId="7">
    <w:abstractNumId w:val="0"/>
  </w:num>
  <w:num w:numId="8">
    <w:abstractNumId w:val="6"/>
  </w:num>
  <w:num w:numId="9">
    <w:abstractNumId w:val="8"/>
  </w:num>
  <w:num w:numId="10">
    <w:abstractNumId w:val="11"/>
  </w:num>
  <w:num w:numId="11">
    <w:abstractNumId w:val="9"/>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20F87"/>
    <w:rsid w:val="001221E7"/>
    <w:rsid w:val="00122DFA"/>
    <w:rsid w:val="00134F6E"/>
    <w:rsid w:val="00135043"/>
    <w:rsid w:val="00141638"/>
    <w:rsid w:val="00144074"/>
    <w:rsid w:val="00156955"/>
    <w:rsid w:val="00181BB8"/>
    <w:rsid w:val="0018309B"/>
    <w:rsid w:val="00197B3E"/>
    <w:rsid w:val="001A187A"/>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32014"/>
    <w:rsid w:val="003357E9"/>
    <w:rsid w:val="00341157"/>
    <w:rsid w:val="003436CC"/>
    <w:rsid w:val="00347274"/>
    <w:rsid w:val="003555BA"/>
    <w:rsid w:val="00373B11"/>
    <w:rsid w:val="00374DA1"/>
    <w:rsid w:val="00375FB5"/>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38D7"/>
    <w:rsid w:val="0049440B"/>
    <w:rsid w:val="004953EA"/>
    <w:rsid w:val="004B33BB"/>
    <w:rsid w:val="004C685E"/>
    <w:rsid w:val="004D374C"/>
    <w:rsid w:val="004F6779"/>
    <w:rsid w:val="00500FE0"/>
    <w:rsid w:val="00506FD7"/>
    <w:rsid w:val="005174C6"/>
    <w:rsid w:val="00532ABD"/>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11964"/>
    <w:rsid w:val="00612E98"/>
    <w:rsid w:val="00612F40"/>
    <w:rsid w:val="00617633"/>
    <w:rsid w:val="00655FD6"/>
    <w:rsid w:val="00664304"/>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2027C"/>
    <w:rsid w:val="007252DA"/>
    <w:rsid w:val="00736DBB"/>
    <w:rsid w:val="007377B7"/>
    <w:rsid w:val="00745C3C"/>
    <w:rsid w:val="007805A3"/>
    <w:rsid w:val="007A79AB"/>
    <w:rsid w:val="007B07F5"/>
    <w:rsid w:val="007B50FF"/>
    <w:rsid w:val="007C2842"/>
    <w:rsid w:val="007D4F8E"/>
    <w:rsid w:val="007E0B6D"/>
    <w:rsid w:val="00803DDE"/>
    <w:rsid w:val="00820533"/>
    <w:rsid w:val="00822F23"/>
    <w:rsid w:val="00831C33"/>
    <w:rsid w:val="00834713"/>
    <w:rsid w:val="00840D53"/>
    <w:rsid w:val="008468F4"/>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81993"/>
    <w:rsid w:val="009A49AC"/>
    <w:rsid w:val="009B05AD"/>
    <w:rsid w:val="009B6E15"/>
    <w:rsid w:val="009E1E50"/>
    <w:rsid w:val="009E36FF"/>
    <w:rsid w:val="009F3A54"/>
    <w:rsid w:val="00A009F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82573"/>
    <w:rsid w:val="00A955EB"/>
    <w:rsid w:val="00AA14BB"/>
    <w:rsid w:val="00AB2FB7"/>
    <w:rsid w:val="00AD1E43"/>
    <w:rsid w:val="00AF1691"/>
    <w:rsid w:val="00AF3188"/>
    <w:rsid w:val="00AF7E41"/>
    <w:rsid w:val="00B077BE"/>
    <w:rsid w:val="00B13FE2"/>
    <w:rsid w:val="00B157DD"/>
    <w:rsid w:val="00B24446"/>
    <w:rsid w:val="00B278D5"/>
    <w:rsid w:val="00B27D36"/>
    <w:rsid w:val="00B32BB1"/>
    <w:rsid w:val="00B4093E"/>
    <w:rsid w:val="00B443F2"/>
    <w:rsid w:val="00B447D5"/>
    <w:rsid w:val="00B45065"/>
    <w:rsid w:val="00B474C1"/>
    <w:rsid w:val="00B544E6"/>
    <w:rsid w:val="00B55840"/>
    <w:rsid w:val="00B61AB0"/>
    <w:rsid w:val="00B65696"/>
    <w:rsid w:val="00B71657"/>
    <w:rsid w:val="00B8243B"/>
    <w:rsid w:val="00B8595A"/>
    <w:rsid w:val="00BA5AF0"/>
    <w:rsid w:val="00BC4F79"/>
    <w:rsid w:val="00BD6726"/>
    <w:rsid w:val="00BE5BCC"/>
    <w:rsid w:val="00BF0255"/>
    <w:rsid w:val="00BF22F0"/>
    <w:rsid w:val="00BF6809"/>
    <w:rsid w:val="00C0706B"/>
    <w:rsid w:val="00C124F7"/>
    <w:rsid w:val="00C23AD1"/>
    <w:rsid w:val="00C55DDC"/>
    <w:rsid w:val="00C6529C"/>
    <w:rsid w:val="00C719EF"/>
    <w:rsid w:val="00C71D92"/>
    <w:rsid w:val="00C74272"/>
    <w:rsid w:val="00C81669"/>
    <w:rsid w:val="00C81F66"/>
    <w:rsid w:val="00C873DC"/>
    <w:rsid w:val="00C96624"/>
    <w:rsid w:val="00CA0D91"/>
    <w:rsid w:val="00CB219C"/>
    <w:rsid w:val="00CC2228"/>
    <w:rsid w:val="00CC2FBD"/>
    <w:rsid w:val="00CD3DD9"/>
    <w:rsid w:val="00CD5694"/>
    <w:rsid w:val="00CE5BBA"/>
    <w:rsid w:val="00CE648C"/>
    <w:rsid w:val="00CF05A8"/>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C68DD"/>
    <w:rsid w:val="00DD222F"/>
    <w:rsid w:val="00DF069A"/>
    <w:rsid w:val="00DF0B2E"/>
    <w:rsid w:val="00DF2B91"/>
    <w:rsid w:val="00DF7AFB"/>
    <w:rsid w:val="00E06DF0"/>
    <w:rsid w:val="00E3088B"/>
    <w:rsid w:val="00E350A9"/>
    <w:rsid w:val="00E476EF"/>
    <w:rsid w:val="00E556F7"/>
    <w:rsid w:val="00E55EB7"/>
    <w:rsid w:val="00E57F6E"/>
    <w:rsid w:val="00E648D8"/>
    <w:rsid w:val="00E92A16"/>
    <w:rsid w:val="00E92B7E"/>
    <w:rsid w:val="00E9441B"/>
    <w:rsid w:val="00E94D84"/>
    <w:rsid w:val="00EA6682"/>
    <w:rsid w:val="00EA6938"/>
    <w:rsid w:val="00EC5655"/>
    <w:rsid w:val="00EC66FA"/>
    <w:rsid w:val="00EF6BCF"/>
    <w:rsid w:val="00F13623"/>
    <w:rsid w:val="00F32A73"/>
    <w:rsid w:val="00F65A85"/>
    <w:rsid w:val="00F65EBB"/>
    <w:rsid w:val="00F758DE"/>
    <w:rsid w:val="00F812DC"/>
    <w:rsid w:val="00F81767"/>
    <w:rsid w:val="00F84197"/>
    <w:rsid w:val="00F85EFC"/>
    <w:rsid w:val="00F94B45"/>
    <w:rsid w:val="00F96DFC"/>
    <w:rsid w:val="00FA0276"/>
    <w:rsid w:val="00FA3125"/>
    <w:rsid w:val="00FC14C9"/>
    <w:rsid w:val="00FC77F1"/>
    <w:rsid w:val="00FC7E6A"/>
    <w:rsid w:val="00FD0814"/>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uiPriority w:val="99"/>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22820688">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siad.org/tr/tum/item/download/7168_285adb835f2b413cb825fc030ba1995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urkonfed.org" TargetMode="External"/><Relationship Id="rId4" Type="http://schemas.openxmlformats.org/officeDocument/2006/relationships/webSettings" Target="webSettings.xml"/><Relationship Id="rId9" Type="http://schemas.openxmlformats.org/officeDocument/2006/relationships/hyperlink" Target="http://www.turkonf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107</TotalTime>
  <Pages>2</Pages>
  <Words>807</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5397</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20</cp:revision>
  <cp:lastPrinted>2016-04-17T16:37:00Z</cp:lastPrinted>
  <dcterms:created xsi:type="dcterms:W3CDTF">2016-04-17T16:27:00Z</dcterms:created>
  <dcterms:modified xsi:type="dcterms:W3CDTF">2016-05-06T09:57:00Z</dcterms:modified>
</cp:coreProperties>
</file>